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316442</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Xiamen, China, October 9 – October 13</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relevant UE capability for FR2 SCell activation delay reduction</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5.8.2.2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During recent RAN4 meetings, spread discussion was held focus on L3 part of unknown FR2 SCell activation reduction. Until right now, good progress were achieved around the FR2 SCell activation enhancement. We can devide the enhancements into the following aspects:</w:t>
      </w:r>
    </w:p>
    <w:p>
      <w:pPr>
        <w:widowControl w:val="0"/>
        <w:numPr>
          <w:ilvl w:val="0"/>
          <w:numId w:val="5"/>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 xml:space="preserve">Scope clarification and general </w:t>
      </w:r>
    </w:p>
    <w:p>
      <w:pPr>
        <w:widowControl w:val="0"/>
        <w:numPr>
          <w:ilvl w:val="0"/>
          <w:numId w:val="5"/>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The L3 report mechanism after SCell activation command</w:t>
      </w:r>
    </w:p>
    <w:p>
      <w:pPr>
        <w:widowControl w:val="0"/>
        <w:numPr>
          <w:ilvl w:val="0"/>
          <w:numId w:val="5"/>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The enhancement on other L3 part besides the L3 report mechanism after SCell activation command</w:t>
      </w:r>
    </w:p>
    <w:p>
      <w:pPr>
        <w:widowControl w:val="0"/>
        <w:numPr>
          <w:ilvl w:val="0"/>
          <w:numId w:val="5"/>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The enhancement on L1 part</w:t>
      </w:r>
    </w:p>
    <w:p>
      <w:pPr>
        <w:widowControl w:val="0"/>
        <w:numPr>
          <w:ilvl w:val="0"/>
          <w:numId w:val="0"/>
        </w:numPr>
        <w:ind w:leftChars="0"/>
        <w:jc w:val="both"/>
        <w:rPr>
          <w:rFonts w:hint="default" w:eastAsia="宋体"/>
          <w:color w:val="auto"/>
          <w:sz w:val="20"/>
          <w:szCs w:val="20"/>
          <w:lang w:val="en-US" w:eastAsia="zh-CN"/>
        </w:rPr>
      </w:pPr>
      <w:r>
        <w:rPr>
          <w:rFonts w:hint="eastAsia" w:eastAsia="宋体"/>
          <w:color w:val="auto"/>
          <w:sz w:val="20"/>
          <w:szCs w:val="20"/>
          <w:lang w:val="en-US" w:eastAsia="zh-CN"/>
        </w:rPr>
        <w:t xml:space="preserve">Now, it nears to the end of this R18 WID, so it is meaningful to clear up and identify all the relevant UE capabilities. In this paper, we focus on the discussion of relevant UE capabilities.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widowControl w:val="0"/>
        <w:numPr>
          <w:ilvl w:val="0"/>
          <w:numId w:val="0"/>
        </w:numPr>
        <w:ind w:leftChars="0"/>
        <w:jc w:val="both"/>
        <w:rPr>
          <w:rFonts w:hint="eastAsia" w:eastAsia="宋体"/>
          <w:color w:val="auto"/>
          <w:sz w:val="20"/>
          <w:szCs w:val="20"/>
          <w:u w:val="single"/>
          <w:lang w:val="en-US" w:eastAsia="zh-CN"/>
        </w:rPr>
      </w:pPr>
      <w:r>
        <w:rPr>
          <w:rFonts w:hint="eastAsia" w:eastAsia="宋体"/>
          <w:color w:val="auto"/>
          <w:sz w:val="20"/>
          <w:szCs w:val="20"/>
          <w:u w:val="single"/>
          <w:lang w:val="en-US" w:eastAsia="zh-CN"/>
        </w:rPr>
        <w:t>UE capabilities with respect to general</w:t>
      </w:r>
    </w:p>
    <w:p>
      <w:pPr>
        <w:widowControl w:val="0"/>
        <w:numPr>
          <w:ilvl w:val="0"/>
          <w:numId w:val="0"/>
        </w:numPr>
        <w:ind w:leftChars="0"/>
        <w:jc w:val="both"/>
        <w:rPr>
          <w:rFonts w:hint="default" w:eastAsia="宋体"/>
          <w:color w:val="auto"/>
          <w:sz w:val="20"/>
          <w:szCs w:val="20"/>
          <w:u w:val="single"/>
          <w:lang w:val="en-US" w:eastAsia="zh-CN"/>
        </w:rPr>
      </w:pPr>
      <w:r>
        <w:rPr>
          <w:rFonts w:hint="eastAsia" w:eastAsia="宋体"/>
          <w:color w:val="auto"/>
          <w:sz w:val="20"/>
          <w:szCs w:val="20"/>
          <w:highlight w:val="none"/>
          <w:lang w:val="en-US" w:eastAsia="zh-CN"/>
        </w:rPr>
        <w:t>No UE capability referred to.</w:t>
      </w:r>
    </w:p>
    <w:p>
      <w:pPr>
        <w:widowControl w:val="0"/>
        <w:numPr>
          <w:ilvl w:val="0"/>
          <w:numId w:val="0"/>
        </w:numPr>
        <w:ind w:leftChars="0"/>
        <w:jc w:val="both"/>
        <w:rPr>
          <w:rFonts w:hint="eastAsia" w:eastAsia="宋体"/>
          <w:color w:val="auto"/>
          <w:sz w:val="20"/>
          <w:szCs w:val="20"/>
          <w:u w:val="single"/>
          <w:lang w:val="en-US" w:eastAsia="zh-CN"/>
        </w:rPr>
      </w:pPr>
    </w:p>
    <w:p>
      <w:pPr>
        <w:widowControl w:val="0"/>
        <w:numPr>
          <w:ilvl w:val="0"/>
          <w:numId w:val="0"/>
        </w:numPr>
        <w:ind w:leftChars="0"/>
        <w:jc w:val="both"/>
        <w:rPr>
          <w:rFonts w:hint="eastAsia" w:eastAsia="宋体"/>
          <w:color w:val="auto"/>
          <w:sz w:val="20"/>
          <w:szCs w:val="20"/>
          <w:u w:val="single"/>
          <w:lang w:val="en-US" w:eastAsia="zh-CN"/>
        </w:rPr>
      </w:pPr>
      <w:r>
        <w:rPr>
          <w:rFonts w:hint="eastAsia" w:eastAsia="宋体"/>
          <w:color w:val="auto"/>
          <w:sz w:val="20"/>
          <w:szCs w:val="20"/>
          <w:u w:val="single"/>
          <w:lang w:val="en-US" w:eastAsia="zh-CN"/>
        </w:rPr>
        <w:t>UE capabilities with respect to the L3 report mechanism after SCell activation command</w:t>
      </w:r>
    </w:p>
    <w:p>
      <w:pPr>
        <w:widowControl w:val="0"/>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Whether an UE capability of supporting the L3 report mechanism after SCell activation command is needed, this can be discussed. We are open to this UE capability. But it should be noted that since such L3 report mechanism after SCell activation command has been approved to extent to the single PUCCH SCell activation and multiple SCell activation, so if an UE capability needs to be introduced, which is common for the single SCell activation, single PUCCH SCell activation and multiple SCell activation.</w:t>
      </w:r>
    </w:p>
    <w:p>
      <w:pPr>
        <w:pStyle w:val="11"/>
        <w:numPr>
          <w:ilvl w:val="0"/>
          <w:numId w:val="0"/>
        </w:numPr>
        <w:ind w:leftChars="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Need to discuss whether introduce an UE capability of supporting the L3 report mechanism after SCell activation command. If decide to introduce, such UE capability is common for the single SCell activation, single PUCCH SCell activation and multiple SCell activation.</w:t>
      </w:r>
    </w:p>
    <w:p>
      <w:pPr>
        <w:widowControl w:val="0"/>
        <w:numPr>
          <w:ilvl w:val="0"/>
          <w:numId w:val="0"/>
        </w:numPr>
        <w:ind w:leftChars="0"/>
        <w:jc w:val="both"/>
        <w:rPr>
          <w:rFonts w:hint="eastAsia" w:eastAsia="宋体"/>
          <w:color w:val="auto"/>
          <w:sz w:val="20"/>
          <w:szCs w:val="20"/>
          <w:u w:val="single"/>
          <w:lang w:val="en-US" w:eastAsia="zh-CN"/>
        </w:rPr>
      </w:pPr>
    </w:p>
    <w:p>
      <w:pPr>
        <w:widowControl w:val="0"/>
        <w:numPr>
          <w:ilvl w:val="0"/>
          <w:numId w:val="0"/>
        </w:numPr>
        <w:ind w:leftChars="0"/>
        <w:jc w:val="both"/>
        <w:rPr>
          <w:rFonts w:hint="eastAsia" w:eastAsia="宋体"/>
          <w:color w:val="auto"/>
          <w:sz w:val="20"/>
          <w:szCs w:val="20"/>
          <w:u w:val="single"/>
          <w:lang w:val="en-US" w:eastAsia="zh-CN"/>
        </w:rPr>
      </w:pPr>
      <w:r>
        <w:rPr>
          <w:rFonts w:hint="eastAsia" w:eastAsia="宋体"/>
          <w:color w:val="auto"/>
          <w:sz w:val="20"/>
          <w:szCs w:val="20"/>
          <w:u w:val="single"/>
          <w:lang w:val="en-US" w:eastAsia="zh-CN"/>
        </w:rPr>
        <w:t>UE capabilities with respect to other L3 part enhancement</w:t>
      </w:r>
    </w:p>
    <w:p>
      <w:pPr>
        <w:widowControl w:val="0"/>
        <w:numPr>
          <w:ilvl w:val="0"/>
          <w:numId w:val="0"/>
        </w:numPr>
        <w:ind w:leftChars="0"/>
        <w:jc w:val="both"/>
        <w:rPr>
          <w:rFonts w:hint="default" w:eastAsia="宋体"/>
          <w:color w:val="auto"/>
          <w:sz w:val="20"/>
          <w:szCs w:val="20"/>
          <w:u w:val="single"/>
          <w:lang w:val="en-US" w:eastAsia="zh-CN"/>
        </w:rPr>
      </w:pPr>
      <w:r>
        <w:rPr>
          <w:rFonts w:hint="eastAsia" w:eastAsia="宋体"/>
          <w:color w:val="auto"/>
          <w:sz w:val="20"/>
          <w:szCs w:val="20"/>
          <w:lang w:val="en-US" w:eastAsia="zh-CN"/>
        </w:rPr>
        <w:t>In previous meeting, the following agreements was achieved in [1][2][3].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autoSpaceDE w:val="0"/>
              <w:autoSpaceDN w:val="0"/>
              <w:adjustRightInd w:val="0"/>
              <w:spacing w:after="0" w:line="240" w:lineRule="auto"/>
              <w:rPr>
                <w:rFonts w:eastAsia="宋体"/>
                <w:bCs/>
                <w:sz w:val="20"/>
                <w:szCs w:val="20"/>
                <w:lang w:val="en-GB" w:eastAsia="ko-KR"/>
              </w:rPr>
            </w:pPr>
            <w:r>
              <w:rPr>
                <w:rFonts w:eastAsia="宋体"/>
                <w:bCs/>
                <w:sz w:val="20"/>
                <w:szCs w:val="20"/>
                <w:highlight w:val="green"/>
                <w:lang w:val="en-GB" w:eastAsia="ko-KR"/>
              </w:rPr>
              <w:t>Agreement</w:t>
            </w:r>
            <w:r>
              <w:rPr>
                <w:rFonts w:eastAsia="宋体"/>
                <w:bCs/>
                <w:sz w:val="20"/>
                <w:szCs w:val="20"/>
                <w:lang w:val="en-GB" w:eastAsia="ko-KR"/>
              </w:rPr>
              <w:t>:</w:t>
            </w:r>
          </w:p>
          <w:p>
            <w:pPr>
              <w:pStyle w:val="29"/>
              <w:widowControl/>
              <w:numPr>
                <w:ilvl w:val="0"/>
                <w:numId w:val="3"/>
              </w:numPr>
              <w:autoSpaceDE w:val="0"/>
              <w:autoSpaceDN w:val="0"/>
              <w:adjustRightInd w:val="0"/>
              <w:spacing w:after="0" w:line="240" w:lineRule="auto"/>
              <w:ind w:left="360" w:firstLineChars="0"/>
              <w:rPr>
                <w:color w:val="auto"/>
                <w:sz w:val="20"/>
                <w:szCs w:val="20"/>
                <w:lang w:val="en-US"/>
              </w:rPr>
            </w:pPr>
            <w:r>
              <w:rPr>
                <w:color w:val="auto"/>
                <w:sz w:val="20"/>
                <w:szCs w:val="20"/>
                <w:lang w:val="en-US"/>
              </w:rPr>
              <w:t>For unknown FR2 SCell activation enhancement, introduce the UE capability to support Rx beam sweeping factor less than 8 for cell detection part and SSB based L1-RSRP measurement.</w:t>
            </w:r>
          </w:p>
          <w:p>
            <w:pPr>
              <w:pStyle w:val="29"/>
              <w:widowControl/>
              <w:numPr>
                <w:ilvl w:val="1"/>
                <w:numId w:val="3"/>
              </w:numPr>
              <w:autoSpaceDE w:val="0"/>
              <w:autoSpaceDN w:val="0"/>
              <w:adjustRightInd w:val="0"/>
              <w:spacing w:after="0" w:line="240" w:lineRule="auto"/>
              <w:ind w:left="1080" w:firstLineChars="0"/>
              <w:rPr>
                <w:color w:val="auto"/>
                <w:sz w:val="20"/>
                <w:szCs w:val="20"/>
                <w:lang w:val="en-US"/>
              </w:rPr>
            </w:pPr>
            <w:r>
              <w:rPr>
                <w:color w:val="auto"/>
                <w:sz w:val="20"/>
                <w:szCs w:val="20"/>
                <w:lang w:val="en-US"/>
              </w:rPr>
              <w:t>if UE has full set (N=8) of beam sweeping during AGC settling part during FR2 unknown SCell activation procedure.</w:t>
            </w:r>
          </w:p>
          <w:p>
            <w:pPr>
              <w:pStyle w:val="29"/>
              <w:widowControl/>
              <w:numPr>
                <w:ilvl w:val="2"/>
                <w:numId w:val="3"/>
              </w:numPr>
              <w:autoSpaceDE w:val="0"/>
              <w:autoSpaceDN w:val="0"/>
              <w:adjustRightInd w:val="0"/>
              <w:spacing w:after="0" w:line="240" w:lineRule="auto"/>
              <w:ind w:left="1800" w:firstLineChars="0"/>
              <w:rPr>
                <w:color w:val="auto"/>
                <w:sz w:val="20"/>
                <w:szCs w:val="20"/>
                <w:lang w:val="en-US"/>
              </w:rPr>
            </w:pPr>
            <w:r>
              <w:rPr>
                <w:color w:val="auto"/>
                <w:sz w:val="20"/>
                <w:szCs w:val="20"/>
                <w:lang w:val="en-US"/>
              </w:rPr>
              <w:t>Introduce beam sweeping factor capability of X1 for cell detection part (X1*Trs) and beam sweeping factor capability of X2 for SSB based L1-RSRP measurement</w:t>
            </w:r>
          </w:p>
          <w:p>
            <w:pPr>
              <w:pStyle w:val="29"/>
              <w:widowControl/>
              <w:numPr>
                <w:ilvl w:val="2"/>
                <w:numId w:val="3"/>
              </w:numPr>
              <w:autoSpaceDE w:val="0"/>
              <w:autoSpaceDN w:val="0"/>
              <w:adjustRightInd w:val="0"/>
              <w:spacing w:after="0" w:line="240" w:lineRule="auto"/>
              <w:ind w:left="1800" w:firstLineChars="0"/>
              <w:rPr>
                <w:color w:val="auto"/>
                <w:sz w:val="20"/>
                <w:szCs w:val="20"/>
                <w:lang w:val="en-US"/>
              </w:rPr>
            </w:pPr>
            <w:r>
              <w:rPr>
                <w:color w:val="auto"/>
                <w:sz w:val="20"/>
                <w:szCs w:val="20"/>
                <w:lang w:val="en-US"/>
              </w:rPr>
              <w:t xml:space="preserve">Beam sweeping factor capability X1/X2 are two independent capabilities  </w:t>
            </w:r>
          </w:p>
          <w:p>
            <w:pPr>
              <w:pStyle w:val="29"/>
              <w:widowControl/>
              <w:numPr>
                <w:ilvl w:val="0"/>
                <w:numId w:val="3"/>
              </w:numPr>
              <w:autoSpaceDE w:val="0"/>
              <w:autoSpaceDN w:val="0"/>
              <w:adjustRightInd w:val="0"/>
              <w:spacing w:after="0" w:line="240" w:lineRule="auto"/>
              <w:ind w:left="360" w:firstLineChars="0"/>
              <w:rPr>
                <w:color w:val="auto"/>
                <w:sz w:val="20"/>
                <w:szCs w:val="20"/>
                <w:lang w:val="en-US"/>
              </w:rPr>
            </w:pPr>
            <w:r>
              <w:rPr>
                <w:color w:val="auto"/>
                <w:sz w:val="20"/>
                <w:szCs w:val="20"/>
                <w:lang w:val="en-US"/>
              </w:rPr>
              <w:t>Note: above enhancement only applies for FR2 unknown SCell activation enhancement</w:t>
            </w:r>
          </w:p>
          <w:p>
            <w:pPr>
              <w:pStyle w:val="29"/>
              <w:widowControl/>
              <w:numPr>
                <w:ilvl w:val="0"/>
                <w:numId w:val="3"/>
              </w:numPr>
              <w:autoSpaceDE w:val="0"/>
              <w:autoSpaceDN w:val="0"/>
              <w:adjustRightInd w:val="0"/>
              <w:spacing w:after="0" w:line="240" w:lineRule="auto"/>
              <w:ind w:left="360" w:firstLineChars="0"/>
              <w:rPr>
                <w:rFonts w:hint="default" w:eastAsia="宋体"/>
                <w:color w:val="auto"/>
                <w:sz w:val="20"/>
                <w:szCs w:val="20"/>
                <w:u w:val="single"/>
                <w:vertAlign w:val="baseline"/>
                <w:lang w:val="en-US" w:eastAsia="zh-CN"/>
              </w:rPr>
            </w:pPr>
            <w:r>
              <w:rPr>
                <w:color w:val="auto"/>
                <w:sz w:val="20"/>
                <w:szCs w:val="20"/>
                <w:lang w:val="en-US"/>
              </w:rPr>
              <w:t>Note: How to capture in spec can be discussed in CR stage</w:t>
            </w:r>
          </w:p>
          <w:p>
            <w:pPr>
              <w:pStyle w:val="59"/>
              <w:numPr>
                <w:ilvl w:val="0"/>
                <w:numId w:val="3"/>
              </w:numPr>
              <w:bidi w:val="0"/>
              <w:ind w:left="360" w:leftChars="0"/>
              <w:rPr>
                <w:rFonts w:hint="default"/>
                <w:lang w:val="en-US" w:eastAsia="zh-CN"/>
              </w:rPr>
            </w:pPr>
            <w:r>
              <w:rPr>
                <w:rFonts w:ascii="Calibri" w:hAnsi="Calibri" w:eastAsia="宋体" w:cs="Times New Roman"/>
                <w:color w:val="auto"/>
                <w:kern w:val="2"/>
                <w:sz w:val="20"/>
                <w:szCs w:val="20"/>
                <w:lang w:val="en-US" w:eastAsia="zh-CN" w:bidi="ar-SA"/>
              </w:rPr>
              <w:t>The candidate values for X1/X2 are FFS</w:t>
            </w:r>
          </w:p>
          <w:p>
            <w:pPr>
              <w:autoSpaceDE w:val="0"/>
              <w:autoSpaceDN w:val="0"/>
              <w:adjustRightInd w:val="0"/>
              <w:spacing w:after="0" w:line="240" w:lineRule="auto"/>
              <w:rPr>
                <w:rFonts w:ascii="Calibri" w:hAnsi="Calibri" w:eastAsia="宋体" w:cs="Times New Roman"/>
                <w:color w:val="auto"/>
                <w:kern w:val="2"/>
                <w:sz w:val="20"/>
                <w:szCs w:val="20"/>
                <w:lang w:val="en-US" w:eastAsia="zh-CN" w:bidi="ar-SA"/>
              </w:rPr>
            </w:pPr>
            <w:r>
              <w:rPr>
                <w:rFonts w:eastAsia="宋体"/>
                <w:bCs/>
                <w:sz w:val="20"/>
                <w:szCs w:val="20"/>
                <w:highlight w:val="green"/>
                <w:lang w:val="en-GB" w:eastAsia="ko-KR"/>
              </w:rPr>
              <w:t>Agreement</w:t>
            </w:r>
            <w:r>
              <w:rPr>
                <w:rFonts w:eastAsia="宋体"/>
                <w:bCs/>
                <w:sz w:val="20"/>
                <w:szCs w:val="20"/>
                <w:lang w:val="en-GB" w:eastAsia="ko-KR"/>
              </w:rPr>
              <w:t>:</w:t>
            </w:r>
          </w:p>
          <w:p>
            <w:pPr>
              <w:pStyle w:val="29"/>
              <w:widowControl/>
              <w:numPr>
                <w:ilvl w:val="0"/>
                <w:numId w:val="3"/>
              </w:numPr>
              <w:autoSpaceDE w:val="0"/>
              <w:autoSpaceDN w:val="0"/>
              <w:adjustRightInd w:val="0"/>
              <w:spacing w:after="0" w:line="240" w:lineRule="auto"/>
              <w:ind w:left="360" w:firstLineChars="0"/>
              <w:rPr>
                <w:color w:val="auto"/>
                <w:sz w:val="20"/>
                <w:szCs w:val="20"/>
                <w:lang w:val="en-US"/>
              </w:rPr>
            </w:pPr>
            <w:r>
              <w:rPr>
                <w:color w:val="auto"/>
                <w:sz w:val="20"/>
                <w:szCs w:val="20"/>
                <w:lang w:val="en-US"/>
              </w:rPr>
              <w:t>For unknown FR2 SCell activation enhancement, introduce the UE capability to support Rx beam sweeping factor can be less than 8 for cell detection part of L3 and SSB based L1-RSRP measurement.</w:t>
            </w:r>
          </w:p>
          <w:p>
            <w:pPr>
              <w:pStyle w:val="29"/>
              <w:widowControl/>
              <w:numPr>
                <w:ilvl w:val="1"/>
                <w:numId w:val="3"/>
              </w:numPr>
              <w:autoSpaceDE w:val="0"/>
              <w:autoSpaceDN w:val="0"/>
              <w:adjustRightInd w:val="0"/>
              <w:spacing w:after="0" w:line="240" w:lineRule="auto"/>
              <w:ind w:left="1080" w:firstLineChars="0"/>
              <w:rPr>
                <w:color w:val="auto"/>
                <w:sz w:val="20"/>
                <w:szCs w:val="20"/>
                <w:lang w:val="en-US"/>
              </w:rPr>
            </w:pPr>
            <w:r>
              <w:rPr>
                <w:color w:val="auto"/>
                <w:sz w:val="20"/>
                <w:szCs w:val="20"/>
                <w:lang w:val="en-US"/>
              </w:rPr>
              <w:t>if UE has full set (N=8) of beam sweeping during AGC settling part in L3.</w:t>
            </w:r>
          </w:p>
          <w:p>
            <w:pPr>
              <w:pStyle w:val="29"/>
              <w:widowControl/>
              <w:numPr>
                <w:ilvl w:val="2"/>
                <w:numId w:val="3"/>
              </w:numPr>
              <w:autoSpaceDE w:val="0"/>
              <w:autoSpaceDN w:val="0"/>
              <w:adjustRightInd w:val="0"/>
              <w:spacing w:after="0" w:line="240" w:lineRule="auto"/>
              <w:ind w:left="1800" w:firstLineChars="0"/>
              <w:rPr>
                <w:color w:val="auto"/>
                <w:sz w:val="20"/>
                <w:szCs w:val="20"/>
                <w:lang w:val="en-US"/>
              </w:rPr>
            </w:pPr>
            <w:r>
              <w:rPr>
                <w:color w:val="auto"/>
                <w:sz w:val="20"/>
                <w:szCs w:val="20"/>
                <w:lang w:val="en-US"/>
              </w:rPr>
              <w:t>Beam sweeping factor capability of X1 for cell detection part (X1*Trs) of L3 and beam sweeping factor capability of X2 for SSB based L1-RSRP measurement</w:t>
            </w:r>
          </w:p>
          <w:p>
            <w:pPr>
              <w:pStyle w:val="29"/>
              <w:widowControl/>
              <w:numPr>
                <w:ilvl w:val="2"/>
                <w:numId w:val="3"/>
              </w:numPr>
              <w:autoSpaceDE w:val="0"/>
              <w:autoSpaceDN w:val="0"/>
              <w:adjustRightInd w:val="0"/>
              <w:spacing w:after="0" w:line="240" w:lineRule="auto"/>
              <w:ind w:left="1800" w:firstLineChars="0"/>
              <w:rPr>
                <w:rFonts w:hint="default"/>
                <w:color w:val="auto"/>
                <w:sz w:val="20"/>
                <w:szCs w:val="20"/>
                <w:lang w:val="en-US" w:eastAsia="zh-CN"/>
              </w:rPr>
            </w:pPr>
            <w:r>
              <w:rPr>
                <w:color w:val="auto"/>
                <w:sz w:val="20"/>
                <w:szCs w:val="20"/>
                <w:lang w:val="en-US"/>
              </w:rPr>
              <w:t xml:space="preserve">FFS on capability indication for X1 and X2  </w:t>
            </w:r>
          </w:p>
          <w:p>
            <w:pPr>
              <w:pStyle w:val="29"/>
              <w:widowControl/>
              <w:numPr>
                <w:ilvl w:val="1"/>
                <w:numId w:val="3"/>
              </w:numPr>
              <w:autoSpaceDE w:val="0"/>
              <w:autoSpaceDN w:val="0"/>
              <w:adjustRightInd w:val="0"/>
              <w:spacing w:after="0" w:line="240" w:lineRule="auto"/>
              <w:ind w:left="1080" w:firstLineChars="0"/>
              <w:rPr>
                <w:rFonts w:hint="default"/>
                <w:color w:val="auto"/>
                <w:sz w:val="20"/>
                <w:szCs w:val="20"/>
                <w:lang w:val="en-US" w:eastAsia="zh-CN"/>
              </w:rPr>
            </w:pPr>
            <w:r>
              <w:rPr>
                <w:color w:val="auto"/>
                <w:sz w:val="20"/>
                <w:szCs w:val="20"/>
                <w:lang w:val="en-US" w:eastAsia="zh-CN"/>
              </w:rPr>
              <w:t>Note: above enhancement only applies for FR2 unknown SCell activation enhancement</w:t>
            </w:r>
          </w:p>
          <w:p>
            <w:pPr>
              <w:keepNext w:val="0"/>
              <w:keepLines w:val="0"/>
              <w:pageBreakBefore w:val="0"/>
              <w:kinsoku/>
              <w:wordWrap/>
              <w:overflowPunct/>
              <w:topLinePunct w:val="0"/>
              <w:autoSpaceDE w:val="0"/>
              <w:autoSpaceDN w:val="0"/>
              <w:bidi w:val="0"/>
              <w:adjustRightInd w:val="0"/>
              <w:snapToGrid/>
              <w:spacing w:line="240" w:lineRule="auto"/>
              <w:textAlignment w:val="auto"/>
              <w:rPr>
                <w:b/>
                <w:bCs/>
                <w:highlight w:val="green"/>
                <w:lang w:val="sv-SE" w:eastAsia="ja-JP"/>
              </w:rPr>
            </w:pPr>
            <w:r>
              <w:rPr>
                <w:b/>
                <w:bCs/>
                <w:highlight w:val="green"/>
                <w:lang w:val="sv-SE" w:eastAsia="ja-JP"/>
              </w:rPr>
              <w:t>Agreement:</w:t>
            </w:r>
          </w:p>
          <w:p>
            <w:pPr>
              <w:pStyle w:val="29"/>
              <w:keepNext w:val="0"/>
              <w:keepLines w:val="0"/>
              <w:pageBreakBefore w:val="0"/>
              <w:numPr>
                <w:ilvl w:val="0"/>
                <w:numId w:val="6"/>
              </w:numPr>
              <w:kinsoku/>
              <w:wordWrap/>
              <w:overflowPunct/>
              <w:topLinePunct w:val="0"/>
              <w:autoSpaceDE w:val="0"/>
              <w:autoSpaceDN w:val="0"/>
              <w:bidi w:val="0"/>
              <w:adjustRightInd w:val="0"/>
              <w:snapToGrid/>
              <w:spacing w:line="240" w:lineRule="auto"/>
              <w:ind w:left="1004" w:firstLineChars="0"/>
              <w:textAlignment w:val="auto"/>
              <w:rPr>
                <w:rFonts w:hint="default"/>
                <w:lang w:val="en-US" w:eastAsia="zh-CN"/>
              </w:rPr>
            </w:pPr>
            <w:r>
              <w:rPr>
                <w:highlight w:val="none"/>
                <w:lang w:val="sv-SE" w:eastAsia="ja-JP"/>
              </w:rPr>
              <w:t>To keep “X1*Trs” part of current FR2 unknown SCell activation delay in the delay requirement for FR2 SCell activation enhancment.</w:t>
            </w:r>
          </w:p>
          <w:p>
            <w:pPr>
              <w:pStyle w:val="29"/>
              <w:keepNext w:val="0"/>
              <w:keepLines w:val="0"/>
              <w:pageBreakBefore w:val="0"/>
              <w:numPr>
                <w:ilvl w:val="1"/>
                <w:numId w:val="6"/>
              </w:numPr>
              <w:kinsoku/>
              <w:wordWrap/>
              <w:overflowPunct/>
              <w:topLinePunct w:val="0"/>
              <w:autoSpaceDE w:val="0"/>
              <w:autoSpaceDN w:val="0"/>
              <w:bidi w:val="0"/>
              <w:adjustRightInd w:val="0"/>
              <w:snapToGrid/>
              <w:spacing w:line="240" w:lineRule="auto"/>
              <w:ind w:left="1424" w:leftChars="0" w:firstLineChars="0"/>
              <w:textAlignment w:val="auto"/>
              <w:rPr>
                <w:rFonts w:hint="default"/>
                <w:lang w:val="en-US" w:eastAsia="zh-CN"/>
              </w:rPr>
            </w:pPr>
            <w:r>
              <w:rPr>
                <w:highlight w:val="none"/>
                <w:lang w:val="sv-SE" w:eastAsia="ja-JP"/>
              </w:rPr>
              <w:t>X1 can be less than 8 in the beam sweeping factor reduction discussion for cell detection stage in L3 part based on UE capability.</w:t>
            </w:r>
          </w:p>
          <w:p>
            <w:pPr>
              <w:pStyle w:val="29"/>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eastAsia="宋体"/>
                <w:bCs/>
                <w:color w:val="auto"/>
                <w:lang w:val="en-US" w:eastAsia="zh-CN"/>
              </w:rPr>
            </w:pPr>
            <w:r>
              <w:rPr>
                <w:rFonts w:eastAsia="宋体"/>
                <w:bCs/>
                <w:color w:val="auto"/>
                <w:highlight w:val="green"/>
              </w:rPr>
              <w:t>Agreement</w:t>
            </w:r>
            <w:r>
              <w:rPr>
                <w:rFonts w:eastAsia="宋体"/>
                <w:bCs/>
                <w:color w:val="auto"/>
              </w:rPr>
              <w:t>:</w:t>
            </w:r>
            <w:r>
              <w:rPr>
                <w:rFonts w:hint="eastAsia"/>
                <w:bCs/>
                <w:color w:val="auto"/>
                <w:lang w:val="en-US" w:eastAsia="zh-CN"/>
              </w:rPr>
              <w:t xml:space="preserve"> (107)</w:t>
            </w:r>
          </w:p>
          <w:p>
            <w:pPr>
              <w:pStyle w:val="29"/>
              <w:keepNext w:val="0"/>
              <w:keepLines w:val="0"/>
              <w:pageBreakBefore w:val="0"/>
              <w:numPr>
                <w:ilvl w:val="1"/>
                <w:numId w:val="3"/>
              </w:numPr>
              <w:kinsoku/>
              <w:wordWrap/>
              <w:overflowPunct/>
              <w:topLinePunct w:val="0"/>
              <w:autoSpaceDE/>
              <w:autoSpaceDN/>
              <w:bidi w:val="0"/>
              <w:adjustRightInd/>
              <w:snapToGrid/>
              <w:spacing w:line="240" w:lineRule="auto"/>
              <w:ind w:firstLineChars="0"/>
              <w:textAlignment w:val="auto"/>
              <w:rPr>
                <w:rFonts w:eastAsia="宋体"/>
                <w:bCs/>
                <w:color w:val="auto"/>
              </w:rPr>
            </w:pPr>
            <w:r>
              <w:rPr>
                <w:rFonts w:eastAsia="宋体"/>
                <w:bCs/>
                <w:color w:val="auto"/>
              </w:rPr>
              <w:t>X1= {1,2,4,6}</w:t>
            </w:r>
          </w:p>
          <w:p>
            <w:pPr>
              <w:pStyle w:val="29"/>
              <w:keepNext w:val="0"/>
              <w:keepLines w:val="0"/>
              <w:pageBreakBefore w:val="0"/>
              <w:numPr>
                <w:ilvl w:val="1"/>
                <w:numId w:val="3"/>
              </w:numPr>
              <w:kinsoku/>
              <w:wordWrap/>
              <w:overflowPunct/>
              <w:topLinePunct w:val="0"/>
              <w:autoSpaceDE/>
              <w:autoSpaceDN/>
              <w:bidi w:val="0"/>
              <w:adjustRightInd/>
              <w:snapToGrid/>
              <w:spacing w:line="240" w:lineRule="auto"/>
              <w:ind w:firstLineChars="0"/>
              <w:textAlignment w:val="auto"/>
              <w:rPr>
                <w:rFonts w:eastAsia="宋体"/>
                <w:bCs/>
                <w:color w:val="auto"/>
              </w:rPr>
            </w:pPr>
            <w:r>
              <w:rPr>
                <w:rFonts w:eastAsia="宋体"/>
                <w:bCs/>
                <w:color w:val="auto"/>
              </w:rPr>
              <w:t>X2= {0,1,2,3,4,5,6,7}</w:t>
            </w:r>
            <w:r>
              <w:rPr>
                <w:rFonts w:hint="eastAsia" w:eastAsia="宋体"/>
                <w:bCs/>
                <w:color w:val="auto"/>
                <w:lang w:val="en-US" w:eastAsia="zh-CN"/>
              </w:rPr>
              <w:t xml:space="preserve"> </w:t>
            </w:r>
          </w:p>
          <w:p>
            <w:pPr>
              <w:pStyle w:val="29"/>
              <w:keepNext w:val="0"/>
              <w:keepLines w:val="0"/>
              <w:pageBreakBefore w:val="0"/>
              <w:numPr>
                <w:ilvl w:val="1"/>
                <w:numId w:val="3"/>
              </w:numPr>
              <w:kinsoku/>
              <w:wordWrap/>
              <w:overflowPunct/>
              <w:topLinePunct w:val="0"/>
              <w:autoSpaceDE/>
              <w:autoSpaceDN/>
              <w:bidi w:val="0"/>
              <w:adjustRightInd/>
              <w:snapToGrid/>
              <w:spacing w:line="240" w:lineRule="auto"/>
              <w:ind w:firstLineChars="0"/>
              <w:textAlignment w:val="auto"/>
              <w:rPr>
                <w:rFonts w:hint="default"/>
                <w:lang w:val="en-US" w:eastAsia="zh-CN"/>
              </w:rPr>
            </w:pPr>
            <w:r>
              <w:rPr>
                <w:rFonts w:eastAsia="宋体"/>
                <w:bCs/>
                <w:color w:val="auto"/>
              </w:rPr>
              <w:t>If X1 is absent, beam sweeping factor for cell detection part is 8</w:t>
            </w:r>
            <w:r>
              <w:rPr>
                <w:rFonts w:hint="eastAsia" w:eastAsia="宋体"/>
                <w:bCs/>
                <w:color w:val="auto"/>
                <w:lang w:val="en-US" w:eastAsia="zh-CN"/>
              </w:rPr>
              <w:t xml:space="preserve">  </w:t>
            </w:r>
          </w:p>
          <w:p>
            <w:pPr>
              <w:pStyle w:val="29"/>
              <w:keepNext w:val="0"/>
              <w:keepLines w:val="0"/>
              <w:pageBreakBefore w:val="0"/>
              <w:numPr>
                <w:ilvl w:val="1"/>
                <w:numId w:val="3"/>
              </w:numPr>
              <w:kinsoku/>
              <w:wordWrap/>
              <w:overflowPunct/>
              <w:topLinePunct w:val="0"/>
              <w:autoSpaceDE/>
              <w:autoSpaceDN/>
              <w:bidi w:val="0"/>
              <w:adjustRightInd/>
              <w:snapToGrid/>
              <w:spacing w:line="240" w:lineRule="auto"/>
              <w:ind w:firstLineChars="0"/>
              <w:textAlignment w:val="auto"/>
              <w:rPr>
                <w:rFonts w:hint="default"/>
                <w:lang w:val="en-US" w:eastAsia="zh-CN"/>
              </w:rPr>
            </w:pPr>
            <w:r>
              <w:rPr>
                <w:rFonts w:eastAsia="宋体"/>
                <w:bCs/>
                <w:color w:val="auto"/>
              </w:rPr>
              <w:t>If X2 is absent, beam sweeping factor for SSB-based L1 measurement is 8</w:t>
            </w:r>
            <w:r>
              <w:rPr>
                <w:rFonts w:hint="eastAsia" w:eastAsia="宋体"/>
                <w:bCs/>
                <w:color w:val="auto"/>
                <w:lang w:val="en-US" w:eastAsia="zh-CN"/>
              </w:rPr>
              <w:t xml:space="preserve"> </w:t>
            </w:r>
          </w:p>
        </w:tc>
      </w:tr>
    </w:tbl>
    <w:p>
      <w:pPr>
        <w:widowControl w:val="0"/>
        <w:numPr>
          <w:ilvl w:val="0"/>
          <w:numId w:val="0"/>
        </w:numPr>
        <w:ind w:leftChars="0"/>
        <w:jc w:val="both"/>
        <w:rPr>
          <w:rFonts w:hint="default" w:eastAsia="宋体"/>
          <w:color w:val="auto"/>
          <w:sz w:val="20"/>
          <w:szCs w:val="20"/>
          <w:lang w:val="en-US" w:eastAsia="zh-CN"/>
        </w:rPr>
      </w:pPr>
      <w:r>
        <w:rPr>
          <w:rFonts w:hint="eastAsia" w:eastAsia="宋体"/>
          <w:color w:val="auto"/>
          <w:sz w:val="20"/>
          <w:szCs w:val="20"/>
          <w:lang w:val="en-US" w:eastAsia="zh-CN"/>
        </w:rPr>
        <w:t xml:space="preserve">So one UE capability of indicating the supported reduced beam sweeping number of X1 for cell detection in L3 part is needed. This UE capability is applicable to FR2-2 and per-UE type. Moreover, the supported X1 reported by UE is used to identify the delay of component </w:t>
      </w:r>
      <w:r>
        <w:rPr>
          <w:rFonts w:hint="default" w:eastAsia="宋体"/>
          <w:color w:val="auto"/>
          <w:sz w:val="20"/>
          <w:szCs w:val="20"/>
          <w:lang w:val="en-US" w:eastAsia="zh-CN"/>
        </w:rPr>
        <w:t>“</w:t>
      </w:r>
      <w:r>
        <w:rPr>
          <w:highlight w:val="none"/>
          <w:lang w:val="sv-SE" w:eastAsia="ja-JP"/>
        </w:rPr>
        <w:t>X1*T</w:t>
      </w:r>
      <w:r>
        <w:rPr>
          <w:sz w:val="15"/>
          <w:szCs w:val="15"/>
          <w:highlight w:val="none"/>
          <w:lang w:val="sv-SE" w:eastAsia="ja-JP"/>
        </w:rPr>
        <w:t>rs</w:t>
      </w:r>
      <w:r>
        <w:rPr>
          <w:rFonts w:hint="default" w:eastAsia="宋体"/>
          <w:highlight w:val="none"/>
          <w:lang w:val="en-US" w:eastAsia="zh-CN"/>
        </w:rPr>
        <w:t>”</w:t>
      </w:r>
      <w:r>
        <w:rPr>
          <w:rFonts w:hint="eastAsia" w:eastAsia="宋体"/>
          <w:highlight w:val="none"/>
          <w:lang w:val="en-US" w:eastAsia="zh-CN"/>
        </w:rPr>
        <w:t>. The candidate of X1 has also been determined as {1, 2, 4, 6}.</w:t>
      </w:r>
    </w:p>
    <w:p>
      <w:pPr>
        <w:pStyle w:val="11"/>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Introduce an UE capability of indicating the supported reduced beam sweeping number of X1 for cell detection in L3 part is needed. This UE capability is per-UE type and applicable to FR2-2. The candidates are {1, 2, 4, 6}.</w:t>
      </w:r>
    </w:p>
    <w:p>
      <w:pPr>
        <w:pStyle w:val="11"/>
        <w:numPr>
          <w:ilvl w:val="0"/>
          <w:numId w:val="0"/>
        </w:numPr>
        <w:ind w:leftChars="0"/>
        <w:rPr>
          <w:rFonts w:hint="default" w:eastAsia="宋体" w:cs="Times New Roman"/>
          <w:b/>
          <w:bCs/>
          <w:color w:val="auto"/>
          <w:sz w:val="20"/>
          <w:szCs w:val="20"/>
          <w:highlight w:val="none"/>
          <w:lang w:val="en-US" w:eastAsia="zh-CN" w:bidi="ar-SA"/>
        </w:rPr>
      </w:pPr>
      <w:bookmarkStart w:id="0" w:name="_GoBack"/>
      <w:bookmarkEnd w:id="0"/>
    </w:p>
    <w:p>
      <w:pPr>
        <w:widowControl w:val="0"/>
        <w:numPr>
          <w:ilvl w:val="0"/>
          <w:numId w:val="0"/>
        </w:numPr>
        <w:ind w:leftChars="0"/>
        <w:jc w:val="both"/>
        <w:rPr>
          <w:rFonts w:hint="eastAsia" w:eastAsia="宋体"/>
          <w:color w:val="auto"/>
          <w:sz w:val="20"/>
          <w:szCs w:val="20"/>
          <w:u w:val="single"/>
          <w:lang w:val="en-US" w:eastAsia="zh-CN"/>
        </w:rPr>
      </w:pPr>
      <w:r>
        <w:rPr>
          <w:rFonts w:hint="eastAsia" w:eastAsia="宋体"/>
          <w:color w:val="auto"/>
          <w:sz w:val="20"/>
          <w:szCs w:val="20"/>
          <w:u w:val="single"/>
          <w:lang w:val="en-US" w:eastAsia="zh-CN"/>
        </w:rPr>
        <w:t>UE capabilities with respect to L1 part enhancement</w:t>
      </w:r>
    </w:p>
    <w:p>
      <w:pPr>
        <w:widowControl w:val="0"/>
        <w:numPr>
          <w:ilvl w:val="0"/>
          <w:numId w:val="0"/>
        </w:numPr>
        <w:ind w:leftChars="0"/>
        <w:jc w:val="both"/>
        <w:rPr>
          <w:rFonts w:hint="default" w:eastAsia="宋体"/>
          <w:color w:val="auto"/>
          <w:sz w:val="20"/>
          <w:szCs w:val="20"/>
          <w:lang w:val="en-US" w:eastAsia="zh-CN"/>
        </w:rPr>
      </w:pPr>
      <w:r>
        <w:rPr>
          <w:rFonts w:hint="eastAsia" w:eastAsia="宋体"/>
          <w:color w:val="auto"/>
          <w:sz w:val="20"/>
          <w:szCs w:val="20"/>
          <w:highlight w:val="none"/>
          <w:lang w:val="en-US" w:eastAsia="zh-CN"/>
        </w:rPr>
        <w:t>As shown above, one UE capability of</w:t>
      </w:r>
      <w:r>
        <w:rPr>
          <w:rFonts w:hint="eastAsia" w:eastAsia="宋体"/>
          <w:color w:val="auto"/>
          <w:sz w:val="20"/>
          <w:szCs w:val="20"/>
          <w:lang w:val="en-US" w:eastAsia="zh-CN"/>
        </w:rPr>
        <w:t xml:space="preserve"> indicating the supported reduced beam sweeping number of X2 for SSB based L1-RSRP measurement in L1 part is needed. This UE capability is applicable to FR2-2 and per-UE type. The candidates of X2 are {0, 1, 2, 3, 4, 5, 6, 7}. When the reported X2 is 0, in fact the L1-RSRP measurement can be ignored.</w:t>
      </w:r>
    </w:p>
    <w:p>
      <w:pPr>
        <w:pStyle w:val="11"/>
        <w:numPr>
          <w:ilvl w:val="0"/>
          <w:numId w:val="0"/>
        </w:numPr>
        <w:ind w:leftChars="0"/>
        <w:rPr>
          <w:rFonts w:hint="default"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Proposal 3: Introduce an UE capability of indicating the reduced beam sweeping number of X2 for SSB based L1-RSRP measurement in L1 part is needed. This UE capability is per-UE type and applicable to FR2-2. The candidates are {</w:t>
      </w:r>
      <w:r>
        <w:rPr>
          <w:rFonts w:hint="eastAsia" w:eastAsia="宋体"/>
          <w:b/>
          <w:bCs/>
          <w:color w:val="auto"/>
          <w:sz w:val="20"/>
          <w:szCs w:val="20"/>
          <w:lang w:val="en-US" w:eastAsia="zh-CN"/>
        </w:rPr>
        <w:t>0, 1, 2, 3, 4, 5, 6, 7</w:t>
      </w:r>
      <w:r>
        <w:rPr>
          <w:rFonts w:hint="eastAsia" w:eastAsia="宋体" w:cs="Times New Roman"/>
          <w:b/>
          <w:bCs/>
          <w:color w:val="auto"/>
          <w:sz w:val="20"/>
          <w:szCs w:val="20"/>
          <w:highlight w:val="none"/>
          <w:lang w:val="en-US" w:eastAsia="zh-CN" w:bidi="ar-SA"/>
        </w:rPr>
        <w:t>}.</w:t>
      </w:r>
    </w:p>
    <w:p>
      <w:pPr>
        <w:widowControl w:val="0"/>
        <w:numPr>
          <w:ilvl w:val="0"/>
          <w:numId w:val="0"/>
        </w:numPr>
        <w:ind w:leftChars="0"/>
        <w:jc w:val="both"/>
        <w:rPr>
          <w:rFonts w:hint="eastAsia" w:eastAsia="宋体"/>
          <w:color w:val="auto"/>
          <w:sz w:val="20"/>
          <w:szCs w:val="20"/>
          <w:highlight w:val="none"/>
          <w:lang w:val="en-US"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1"/>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the relevant UE capability of unknown </w:t>
      </w:r>
      <w:r>
        <w:rPr>
          <w:rFonts w:hint="eastAsia" w:eastAsia="宋体"/>
          <w:color w:val="auto"/>
          <w:sz w:val="20"/>
          <w:szCs w:val="20"/>
          <w:lang w:val="en-US" w:eastAsia="zh-CN"/>
        </w:rPr>
        <w:t>FR2 SCell activation enhancement</w:t>
      </w:r>
      <w:r>
        <w:rPr>
          <w:rFonts w:eastAsia="宋体"/>
          <w:bCs/>
          <w:color w:val="auto"/>
          <w:sz w:val="20"/>
          <w:szCs w:val="20"/>
          <w:lang w:val="en-GB" w:eastAsia="zh-CN"/>
        </w:rPr>
        <w:t>:</w:t>
      </w:r>
    </w:p>
    <w:p>
      <w:pPr>
        <w:pStyle w:val="11"/>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Need to discuss whether introduce an UE capability of supporting the L3 report mechanism after SCell activation command. If decide to introduce, such UE capability is common for the single SCell activation, single PUCCH SCell activation and multiple SCell activation.</w:t>
      </w:r>
    </w:p>
    <w:p>
      <w:pPr>
        <w:pStyle w:val="11"/>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Introduce an UE capability of indicating the supported reduced beam sweeping number of X1 for cell detection in L3 part is needed. This UE capability is per-UE type and applicable to FR2-2. The candidates are {1, 2, 4, 6}.</w:t>
      </w:r>
    </w:p>
    <w:p>
      <w:pPr>
        <w:pStyle w:val="11"/>
        <w:numPr>
          <w:ilvl w:val="0"/>
          <w:numId w:val="0"/>
        </w:numPr>
        <w:ind w:left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Introduce an UE capability of indicating the reduced beam sweeping number of X2 for SSB based L1-RSRP measurement in L1 part is needed. This UE capability is per-UE type and applicable to FR2-2. The candidates are {</w:t>
      </w:r>
      <w:r>
        <w:rPr>
          <w:rFonts w:hint="eastAsia" w:eastAsia="宋体"/>
          <w:b/>
          <w:bCs/>
          <w:color w:val="auto"/>
          <w:sz w:val="20"/>
          <w:szCs w:val="20"/>
          <w:lang w:val="en-US" w:eastAsia="zh-CN"/>
        </w:rPr>
        <w:t>0, 1, 2, 3, 4, 5, 6, 7</w:t>
      </w:r>
      <w:r>
        <w:rPr>
          <w:rFonts w:hint="eastAsia" w:eastAsia="宋体" w:cs="Times New Roman"/>
          <w:b/>
          <w:bCs/>
          <w:color w:val="auto"/>
          <w:sz w:val="20"/>
          <w:szCs w:val="20"/>
          <w:highlight w:val="none"/>
          <w:lang w:val="en-US" w:eastAsia="zh-CN" w:bidi="ar-SA"/>
        </w:rPr>
        <w: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
        <w:numPr>
          <w:ilvl w:val="0"/>
          <w:numId w:val="7"/>
        </w:numPr>
        <w:ind w:leftChars="0"/>
        <w:rPr>
          <w:rFonts w:hint="default"/>
          <w:color w:val="auto"/>
          <w:lang w:val="en-US" w:eastAsia="zh-CN"/>
        </w:rPr>
      </w:pPr>
      <w:r>
        <w:rPr>
          <w:rFonts w:hint="eastAsia"/>
          <w:lang w:val="en-US" w:eastAsia="zh-CN"/>
        </w:rPr>
        <w:t xml:space="preserve">R4-2303228 </w:t>
      </w:r>
      <w:r>
        <w:rPr>
          <w:rFonts w:hint="default"/>
          <w:color w:val="auto"/>
          <w:lang w:val="en-US" w:eastAsia="zh-CN"/>
        </w:rPr>
        <w:t>“WF on NR RRM enhancements – FR2 SCell activation”</w:t>
      </w:r>
      <w:r>
        <w:rPr>
          <w:rFonts w:hint="eastAsia"/>
          <w:color w:val="auto"/>
          <w:lang w:val="en-US" w:eastAsia="zh-CN"/>
        </w:rPr>
        <w:t>, Apple</w:t>
      </w:r>
    </w:p>
    <w:p>
      <w:pPr>
        <w:pStyle w:val="6"/>
        <w:numPr>
          <w:ilvl w:val="0"/>
          <w:numId w:val="7"/>
        </w:numPr>
        <w:ind w:leftChars="0"/>
        <w:rPr>
          <w:rFonts w:hint="default"/>
          <w:color w:val="auto"/>
          <w:lang w:val="en-US" w:eastAsia="zh-CN"/>
        </w:rPr>
      </w:pPr>
      <w:r>
        <w:rPr>
          <w:rFonts w:hint="eastAsia"/>
          <w:lang w:val="en-US" w:eastAsia="zh-CN"/>
        </w:rPr>
        <w:t xml:space="preserve">R4-2306315 </w:t>
      </w:r>
      <w:r>
        <w:rPr>
          <w:rFonts w:hint="default"/>
          <w:color w:val="auto"/>
          <w:lang w:val="en-US" w:eastAsia="zh-CN"/>
        </w:rPr>
        <w:t>“WF on NR RRM enhancements – FR2 SCell activation”</w:t>
      </w:r>
      <w:r>
        <w:rPr>
          <w:rFonts w:hint="eastAsia"/>
          <w:color w:val="auto"/>
          <w:lang w:val="en-US" w:eastAsia="zh-CN"/>
        </w:rPr>
        <w:t>, Apple</w:t>
      </w:r>
    </w:p>
    <w:p>
      <w:pPr>
        <w:pStyle w:val="6"/>
        <w:numPr>
          <w:ilvl w:val="0"/>
          <w:numId w:val="7"/>
        </w:numPr>
        <w:ind w:leftChars="0"/>
        <w:rPr>
          <w:rFonts w:hint="default"/>
          <w:color w:val="auto"/>
          <w:lang w:val="en-US" w:eastAsia="zh-CN"/>
        </w:rPr>
      </w:pPr>
      <w:r>
        <w:rPr>
          <w:rFonts w:hint="eastAsia"/>
          <w:lang w:val="en-US" w:eastAsia="zh-CN"/>
        </w:rPr>
        <w:t xml:space="preserve">R4-2310081 </w:t>
      </w:r>
      <w:r>
        <w:rPr>
          <w:rFonts w:hint="default"/>
          <w:color w:val="auto"/>
          <w:lang w:val="en-US" w:eastAsia="zh-CN"/>
        </w:rPr>
        <w:t>“WF on NR RRM enhancements – FR2 SCell activation”</w:t>
      </w:r>
      <w:r>
        <w:rPr>
          <w:rFonts w:hint="eastAsia"/>
          <w:color w:val="auto"/>
          <w:lang w:val="en-US" w:eastAsia="zh-CN"/>
        </w:rPr>
        <w:t>, Apple</w:t>
      </w:r>
    </w:p>
    <w:p>
      <w:pPr>
        <w:pStyle w:val="6"/>
        <w:numPr>
          <w:ilvl w:val="0"/>
          <w:numId w:val="0"/>
        </w:numPr>
        <w:ind w:left="200" w:leftChars="0"/>
        <w:rPr>
          <w:rFonts w:hint="eastAsia"/>
          <w:color w:val="auto"/>
          <w:lang w:val="en-US" w:eastAsia="zh-CN"/>
        </w:rPr>
      </w:pPr>
    </w:p>
    <w:p>
      <w:pPr>
        <w:pStyle w:val="6"/>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FA0FA7F"/>
    <w:multiLevelType w:val="singleLevel"/>
    <w:tmpl w:val="1FA0FA7F"/>
    <w:lvl w:ilvl="0" w:tentative="0">
      <w:start w:val="1"/>
      <w:numFmt w:val="bullet"/>
      <w:lvlText w:val=""/>
      <w:lvlJc w:val="left"/>
      <w:pPr>
        <w:ind w:left="420" w:hanging="420"/>
      </w:pPr>
      <w:rPr>
        <w:rFonts w:hint="default" w:ascii="Wingdings" w:hAnsi="Wingdings"/>
      </w:rPr>
    </w:lvl>
  </w:abstractNum>
  <w:abstractNum w:abstractNumId="2">
    <w:nsid w:val="36A05870"/>
    <w:multiLevelType w:val="multilevel"/>
    <w:tmpl w:val="36A05870"/>
    <w:lvl w:ilvl="0" w:tentative="0">
      <w:start w:val="1"/>
      <w:numFmt w:val="bullet"/>
      <w:lvlText w:val=""/>
      <w:lvlJc w:val="left"/>
      <w:pPr>
        <w:ind w:left="1296" w:hanging="360"/>
      </w:pPr>
      <w:rPr>
        <w:rFonts w:hint="default" w:ascii="Symbol" w:hAnsi="Symbol"/>
      </w:rPr>
    </w:lvl>
    <w:lvl w:ilvl="1" w:tentative="0">
      <w:start w:val="1"/>
      <w:numFmt w:val="bullet"/>
      <w:lvlText w:val="o"/>
      <w:lvlJc w:val="left"/>
      <w:pPr>
        <w:ind w:left="2016" w:hanging="360"/>
      </w:pPr>
      <w:rPr>
        <w:rFonts w:hint="default" w:ascii="Courier New" w:hAnsi="Courier New" w:cs="Courier New"/>
      </w:rPr>
    </w:lvl>
    <w:lvl w:ilvl="2" w:tentative="0">
      <w:start w:val="1"/>
      <w:numFmt w:val="bullet"/>
      <w:lvlText w:val=""/>
      <w:lvlJc w:val="left"/>
      <w:pPr>
        <w:ind w:left="2736" w:hanging="360"/>
      </w:pPr>
      <w:rPr>
        <w:rFonts w:hint="default" w:ascii="Wingdings" w:hAnsi="Wingdings"/>
      </w:rPr>
    </w:lvl>
    <w:lvl w:ilvl="3" w:tentative="0">
      <w:start w:val="1"/>
      <w:numFmt w:val="bullet"/>
      <w:lvlText w:val=""/>
      <w:lvlJc w:val="left"/>
      <w:pPr>
        <w:ind w:left="3456" w:hanging="360"/>
      </w:pPr>
      <w:rPr>
        <w:rFonts w:hint="default" w:ascii="Symbol" w:hAnsi="Symbol"/>
      </w:rPr>
    </w:lvl>
    <w:lvl w:ilvl="4" w:tentative="0">
      <w:start w:val="1"/>
      <w:numFmt w:val="bullet"/>
      <w:lvlText w:val="o"/>
      <w:lvlJc w:val="left"/>
      <w:pPr>
        <w:ind w:left="4176" w:hanging="360"/>
      </w:pPr>
      <w:rPr>
        <w:rFonts w:hint="default" w:ascii="Courier New" w:hAnsi="Courier New" w:cs="Courier New"/>
      </w:rPr>
    </w:lvl>
    <w:lvl w:ilvl="5" w:tentative="0">
      <w:start w:val="1"/>
      <w:numFmt w:val="bullet"/>
      <w:lvlText w:val=""/>
      <w:lvlJc w:val="left"/>
      <w:pPr>
        <w:ind w:left="4896" w:hanging="360"/>
      </w:pPr>
      <w:rPr>
        <w:rFonts w:hint="default" w:ascii="Wingdings" w:hAnsi="Wingdings"/>
      </w:rPr>
    </w:lvl>
    <w:lvl w:ilvl="6" w:tentative="0">
      <w:start w:val="1"/>
      <w:numFmt w:val="bullet"/>
      <w:lvlText w:val=""/>
      <w:lvlJc w:val="left"/>
      <w:pPr>
        <w:ind w:left="5616" w:hanging="360"/>
      </w:pPr>
      <w:rPr>
        <w:rFonts w:hint="default" w:ascii="Symbol" w:hAnsi="Symbol"/>
      </w:rPr>
    </w:lvl>
    <w:lvl w:ilvl="7" w:tentative="0">
      <w:start w:val="1"/>
      <w:numFmt w:val="bullet"/>
      <w:lvlText w:val="o"/>
      <w:lvlJc w:val="left"/>
      <w:pPr>
        <w:ind w:left="6336" w:hanging="360"/>
      </w:pPr>
      <w:rPr>
        <w:rFonts w:hint="default" w:ascii="Courier New" w:hAnsi="Courier New" w:cs="Courier New"/>
      </w:rPr>
    </w:lvl>
    <w:lvl w:ilvl="8" w:tentative="0">
      <w:start w:val="1"/>
      <w:numFmt w:val="bullet"/>
      <w:lvlText w:val=""/>
      <w:lvlJc w:val="left"/>
      <w:pPr>
        <w:ind w:left="7056" w:hanging="360"/>
      </w:pPr>
      <w:rPr>
        <w:rFonts w:hint="default" w:ascii="Wingdings" w:hAnsi="Wingdings"/>
      </w:r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9"/>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5">
    <w:nsid w:val="6B5B4F67"/>
    <w:multiLevelType w:val="multilevel"/>
    <w:tmpl w:val="6B5B4F67"/>
    <w:lvl w:ilvl="0" w:tentative="0">
      <w:start w:val="1"/>
      <w:numFmt w:val="decimal"/>
      <w:pStyle w:val="6"/>
      <w:lvlText w:val="[%1]"/>
      <w:lvlJc w:val="left"/>
      <w:pPr>
        <w:ind w:left="200" w:hanging="420"/>
      </w:pPr>
      <w:rPr>
        <w:rFonts w:hint="eastAsia"/>
      </w:rPr>
    </w:lvl>
    <w:lvl w:ilvl="1" w:tentative="0">
      <w:start w:val="1"/>
      <w:numFmt w:val="lowerLetter"/>
      <w:lvlText w:val="%2)"/>
      <w:lvlJc w:val="left"/>
      <w:pPr>
        <w:ind w:left="262" w:hanging="420"/>
      </w:pPr>
    </w:lvl>
    <w:lvl w:ilvl="2" w:tentative="0">
      <w:start w:val="1"/>
      <w:numFmt w:val="lowerRoman"/>
      <w:lvlText w:val="%3."/>
      <w:lvlJc w:val="right"/>
      <w:pPr>
        <w:ind w:left="682" w:hanging="420"/>
      </w:pPr>
    </w:lvl>
    <w:lvl w:ilvl="3" w:tentative="0">
      <w:start w:val="1"/>
      <w:numFmt w:val="decimal"/>
      <w:lvlText w:val="%4."/>
      <w:lvlJc w:val="left"/>
      <w:pPr>
        <w:ind w:left="1102" w:hanging="420"/>
      </w:pPr>
    </w:lvl>
    <w:lvl w:ilvl="4" w:tentative="0">
      <w:start w:val="1"/>
      <w:numFmt w:val="lowerLetter"/>
      <w:lvlText w:val="%5)"/>
      <w:lvlJc w:val="left"/>
      <w:pPr>
        <w:ind w:left="1522" w:hanging="420"/>
      </w:pPr>
    </w:lvl>
    <w:lvl w:ilvl="5" w:tentative="0">
      <w:start w:val="1"/>
      <w:numFmt w:val="lowerRoman"/>
      <w:lvlText w:val="%6."/>
      <w:lvlJc w:val="right"/>
      <w:pPr>
        <w:ind w:left="1942" w:hanging="420"/>
      </w:pPr>
    </w:lvl>
    <w:lvl w:ilvl="6" w:tentative="0">
      <w:start w:val="1"/>
      <w:numFmt w:val="decimal"/>
      <w:lvlText w:val="%7."/>
      <w:lvlJc w:val="left"/>
      <w:pPr>
        <w:ind w:left="2362" w:hanging="420"/>
      </w:pPr>
    </w:lvl>
    <w:lvl w:ilvl="7" w:tentative="0">
      <w:start w:val="1"/>
      <w:numFmt w:val="lowerLetter"/>
      <w:lvlText w:val="%8)"/>
      <w:lvlJc w:val="left"/>
      <w:pPr>
        <w:ind w:left="2782" w:hanging="420"/>
      </w:pPr>
    </w:lvl>
    <w:lvl w:ilvl="8" w:tentative="0">
      <w:start w:val="1"/>
      <w:numFmt w:val="lowerRoman"/>
      <w:lvlText w:val="%9."/>
      <w:lvlJc w:val="right"/>
      <w:pPr>
        <w:ind w:left="3202" w:hanging="420"/>
      </w:pPr>
    </w:lvl>
  </w:abstractNum>
  <w:abstractNum w:abstractNumId="6">
    <w:nsid w:val="6D132084"/>
    <w:multiLevelType w:val="singleLevel"/>
    <w:tmpl w:val="6D132084"/>
    <w:lvl w:ilvl="0" w:tentative="0">
      <w:start w:val="1"/>
      <w:numFmt w:val="decimal"/>
      <w:suff w:val="space"/>
      <w:lvlText w:val="[%1]"/>
      <w:lvlJc w:val="left"/>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7A5"/>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19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463692"/>
    <w:rsid w:val="01891204"/>
    <w:rsid w:val="01F37ADA"/>
    <w:rsid w:val="028B6A1D"/>
    <w:rsid w:val="028F1C3E"/>
    <w:rsid w:val="037D0CB3"/>
    <w:rsid w:val="037E115D"/>
    <w:rsid w:val="03D4720A"/>
    <w:rsid w:val="04026226"/>
    <w:rsid w:val="04654053"/>
    <w:rsid w:val="04793516"/>
    <w:rsid w:val="047A3CFF"/>
    <w:rsid w:val="04F403D8"/>
    <w:rsid w:val="05317828"/>
    <w:rsid w:val="053A2B03"/>
    <w:rsid w:val="05477E90"/>
    <w:rsid w:val="05BB5AB9"/>
    <w:rsid w:val="05C42923"/>
    <w:rsid w:val="06963BA6"/>
    <w:rsid w:val="075928A1"/>
    <w:rsid w:val="07CD3CDD"/>
    <w:rsid w:val="0855671D"/>
    <w:rsid w:val="08777F6D"/>
    <w:rsid w:val="089009EB"/>
    <w:rsid w:val="096641FF"/>
    <w:rsid w:val="09716BCA"/>
    <w:rsid w:val="09D64B23"/>
    <w:rsid w:val="09E644B8"/>
    <w:rsid w:val="0B12013A"/>
    <w:rsid w:val="0B3D3C2F"/>
    <w:rsid w:val="0BB0429A"/>
    <w:rsid w:val="0BFF5FC6"/>
    <w:rsid w:val="0C394019"/>
    <w:rsid w:val="0CF856E7"/>
    <w:rsid w:val="0D2A60F1"/>
    <w:rsid w:val="0E871F55"/>
    <w:rsid w:val="0EB60EDD"/>
    <w:rsid w:val="0F7514C6"/>
    <w:rsid w:val="10832C30"/>
    <w:rsid w:val="10997F43"/>
    <w:rsid w:val="10DE7BAE"/>
    <w:rsid w:val="110768ED"/>
    <w:rsid w:val="120774A3"/>
    <w:rsid w:val="124D1C25"/>
    <w:rsid w:val="12866C44"/>
    <w:rsid w:val="136B3851"/>
    <w:rsid w:val="13B66EB5"/>
    <w:rsid w:val="14006D19"/>
    <w:rsid w:val="14337DBF"/>
    <w:rsid w:val="1481754F"/>
    <w:rsid w:val="148F5721"/>
    <w:rsid w:val="14AC57CD"/>
    <w:rsid w:val="14B90DF6"/>
    <w:rsid w:val="159C76CB"/>
    <w:rsid w:val="15C37DEC"/>
    <w:rsid w:val="15ED3E9B"/>
    <w:rsid w:val="164514BE"/>
    <w:rsid w:val="16CD72CF"/>
    <w:rsid w:val="17065891"/>
    <w:rsid w:val="170F06AA"/>
    <w:rsid w:val="17225508"/>
    <w:rsid w:val="17564923"/>
    <w:rsid w:val="17C63C83"/>
    <w:rsid w:val="180A6E32"/>
    <w:rsid w:val="1825042E"/>
    <w:rsid w:val="183F2CD2"/>
    <w:rsid w:val="1856323E"/>
    <w:rsid w:val="18AF55E3"/>
    <w:rsid w:val="18B1519A"/>
    <w:rsid w:val="18CD0507"/>
    <w:rsid w:val="195D7D48"/>
    <w:rsid w:val="196E39FC"/>
    <w:rsid w:val="197B756F"/>
    <w:rsid w:val="19960536"/>
    <w:rsid w:val="1AD01A1B"/>
    <w:rsid w:val="1B3C3255"/>
    <w:rsid w:val="1B61065A"/>
    <w:rsid w:val="1B731483"/>
    <w:rsid w:val="1BBF3927"/>
    <w:rsid w:val="1BD261F4"/>
    <w:rsid w:val="1C177B08"/>
    <w:rsid w:val="1C9001C6"/>
    <w:rsid w:val="1CBA2101"/>
    <w:rsid w:val="1CC2157E"/>
    <w:rsid w:val="1D0573D7"/>
    <w:rsid w:val="1D153DC4"/>
    <w:rsid w:val="1D223E0B"/>
    <w:rsid w:val="1E132F88"/>
    <w:rsid w:val="1E2867E9"/>
    <w:rsid w:val="1E513650"/>
    <w:rsid w:val="1E853F6F"/>
    <w:rsid w:val="1E9C7BCC"/>
    <w:rsid w:val="1EC87896"/>
    <w:rsid w:val="1ECC1E3C"/>
    <w:rsid w:val="20080741"/>
    <w:rsid w:val="20933D8F"/>
    <w:rsid w:val="20AE781D"/>
    <w:rsid w:val="20C806F7"/>
    <w:rsid w:val="21014C39"/>
    <w:rsid w:val="21244EB1"/>
    <w:rsid w:val="213964D8"/>
    <w:rsid w:val="214F3475"/>
    <w:rsid w:val="21595D04"/>
    <w:rsid w:val="21F13629"/>
    <w:rsid w:val="2305377E"/>
    <w:rsid w:val="24122135"/>
    <w:rsid w:val="24220030"/>
    <w:rsid w:val="24D4257E"/>
    <w:rsid w:val="24D7783C"/>
    <w:rsid w:val="25490B44"/>
    <w:rsid w:val="2572202B"/>
    <w:rsid w:val="2605683C"/>
    <w:rsid w:val="260C4DC9"/>
    <w:rsid w:val="269452A9"/>
    <w:rsid w:val="26BB1419"/>
    <w:rsid w:val="2732686A"/>
    <w:rsid w:val="273D2956"/>
    <w:rsid w:val="27B748AA"/>
    <w:rsid w:val="27CB4CB9"/>
    <w:rsid w:val="27D31A52"/>
    <w:rsid w:val="28121B1E"/>
    <w:rsid w:val="281C2F58"/>
    <w:rsid w:val="28DC7602"/>
    <w:rsid w:val="29642C4B"/>
    <w:rsid w:val="296569C3"/>
    <w:rsid w:val="2A34628C"/>
    <w:rsid w:val="2A484618"/>
    <w:rsid w:val="2A724D05"/>
    <w:rsid w:val="2A7E505C"/>
    <w:rsid w:val="2AC85686"/>
    <w:rsid w:val="2AD04B5F"/>
    <w:rsid w:val="2AF821D7"/>
    <w:rsid w:val="2BC05B2C"/>
    <w:rsid w:val="2BD617C5"/>
    <w:rsid w:val="2C112837"/>
    <w:rsid w:val="2C18208A"/>
    <w:rsid w:val="2CAE0227"/>
    <w:rsid w:val="2D586EBF"/>
    <w:rsid w:val="2D6F3D99"/>
    <w:rsid w:val="2E014790"/>
    <w:rsid w:val="2E082A14"/>
    <w:rsid w:val="2EBA1DF4"/>
    <w:rsid w:val="2EE77680"/>
    <w:rsid w:val="2F2F0FC8"/>
    <w:rsid w:val="2F57467C"/>
    <w:rsid w:val="2FBC15C5"/>
    <w:rsid w:val="301C6BB6"/>
    <w:rsid w:val="30220150"/>
    <w:rsid w:val="30571E20"/>
    <w:rsid w:val="31894491"/>
    <w:rsid w:val="319708F2"/>
    <w:rsid w:val="31B14C9E"/>
    <w:rsid w:val="33C522D7"/>
    <w:rsid w:val="34807672"/>
    <w:rsid w:val="34921EC4"/>
    <w:rsid w:val="34A82967"/>
    <w:rsid w:val="34E62056"/>
    <w:rsid w:val="3509099B"/>
    <w:rsid w:val="35B06C6A"/>
    <w:rsid w:val="36941AA2"/>
    <w:rsid w:val="36D37423"/>
    <w:rsid w:val="36FF6E30"/>
    <w:rsid w:val="370E71B8"/>
    <w:rsid w:val="379D23F9"/>
    <w:rsid w:val="37E12984"/>
    <w:rsid w:val="3840202A"/>
    <w:rsid w:val="390F18D5"/>
    <w:rsid w:val="3A185287"/>
    <w:rsid w:val="3A1F46B8"/>
    <w:rsid w:val="3A692CD0"/>
    <w:rsid w:val="3B270929"/>
    <w:rsid w:val="3B3D5571"/>
    <w:rsid w:val="3B673620"/>
    <w:rsid w:val="3B9A1F29"/>
    <w:rsid w:val="3C5F7C72"/>
    <w:rsid w:val="3CE4646B"/>
    <w:rsid w:val="3D5E7AA8"/>
    <w:rsid w:val="3D6F2596"/>
    <w:rsid w:val="3F836EE6"/>
    <w:rsid w:val="405F175E"/>
    <w:rsid w:val="40C765F3"/>
    <w:rsid w:val="41A2534B"/>
    <w:rsid w:val="41A41A16"/>
    <w:rsid w:val="42F869D2"/>
    <w:rsid w:val="43285B25"/>
    <w:rsid w:val="43553536"/>
    <w:rsid w:val="43806620"/>
    <w:rsid w:val="443A3304"/>
    <w:rsid w:val="44972678"/>
    <w:rsid w:val="44E85A06"/>
    <w:rsid w:val="451632B9"/>
    <w:rsid w:val="45193F0F"/>
    <w:rsid w:val="4576356B"/>
    <w:rsid w:val="457B4C4B"/>
    <w:rsid w:val="45906394"/>
    <w:rsid w:val="45C25C23"/>
    <w:rsid w:val="45F60A50"/>
    <w:rsid w:val="46142D0C"/>
    <w:rsid w:val="46970A81"/>
    <w:rsid w:val="4697115A"/>
    <w:rsid w:val="46B036BF"/>
    <w:rsid w:val="46C73401"/>
    <w:rsid w:val="47185425"/>
    <w:rsid w:val="47282363"/>
    <w:rsid w:val="49525C50"/>
    <w:rsid w:val="49DC4EAC"/>
    <w:rsid w:val="49E55BC5"/>
    <w:rsid w:val="4B3B06EC"/>
    <w:rsid w:val="4BF24EEB"/>
    <w:rsid w:val="4C1C63D6"/>
    <w:rsid w:val="4C864A35"/>
    <w:rsid w:val="4CB867ED"/>
    <w:rsid w:val="4CD61886"/>
    <w:rsid w:val="4E015C76"/>
    <w:rsid w:val="4E310026"/>
    <w:rsid w:val="4E4A2325"/>
    <w:rsid w:val="4EF1548F"/>
    <w:rsid w:val="4F2D3B14"/>
    <w:rsid w:val="4F5C5331"/>
    <w:rsid w:val="501A6C55"/>
    <w:rsid w:val="505E1A7C"/>
    <w:rsid w:val="5086431A"/>
    <w:rsid w:val="51B14BED"/>
    <w:rsid w:val="52313D62"/>
    <w:rsid w:val="52526454"/>
    <w:rsid w:val="525C1CEF"/>
    <w:rsid w:val="528B5767"/>
    <w:rsid w:val="52C700B1"/>
    <w:rsid w:val="52D33625"/>
    <w:rsid w:val="53A3105E"/>
    <w:rsid w:val="53C64B93"/>
    <w:rsid w:val="53D64D18"/>
    <w:rsid w:val="54283FDA"/>
    <w:rsid w:val="548A6C60"/>
    <w:rsid w:val="5534082B"/>
    <w:rsid w:val="55B1164D"/>
    <w:rsid w:val="55B4735E"/>
    <w:rsid w:val="55BB221D"/>
    <w:rsid w:val="55F52EA4"/>
    <w:rsid w:val="56371459"/>
    <w:rsid w:val="56484633"/>
    <w:rsid w:val="56C65E9B"/>
    <w:rsid w:val="56EB15F8"/>
    <w:rsid w:val="58D0053D"/>
    <w:rsid w:val="58DB5C96"/>
    <w:rsid w:val="5963100F"/>
    <w:rsid w:val="598C40A0"/>
    <w:rsid w:val="59DA647E"/>
    <w:rsid w:val="5A472BD1"/>
    <w:rsid w:val="5A556E1A"/>
    <w:rsid w:val="5C094F4D"/>
    <w:rsid w:val="5C876D53"/>
    <w:rsid w:val="5CFD1122"/>
    <w:rsid w:val="5E2864D0"/>
    <w:rsid w:val="5E494511"/>
    <w:rsid w:val="5E531A2E"/>
    <w:rsid w:val="5EB44FC0"/>
    <w:rsid w:val="5FBA395F"/>
    <w:rsid w:val="60EC2CBA"/>
    <w:rsid w:val="61BD018E"/>
    <w:rsid w:val="61CC2D28"/>
    <w:rsid w:val="63476641"/>
    <w:rsid w:val="635902CD"/>
    <w:rsid w:val="635E6E54"/>
    <w:rsid w:val="640F0A9C"/>
    <w:rsid w:val="64706BBE"/>
    <w:rsid w:val="64F2095B"/>
    <w:rsid w:val="655E2D01"/>
    <w:rsid w:val="663429C9"/>
    <w:rsid w:val="67A858DB"/>
    <w:rsid w:val="67C776ED"/>
    <w:rsid w:val="67FE4166"/>
    <w:rsid w:val="68C401C3"/>
    <w:rsid w:val="69A833BD"/>
    <w:rsid w:val="6A9360AB"/>
    <w:rsid w:val="6AB215EC"/>
    <w:rsid w:val="6C742572"/>
    <w:rsid w:val="6C952210"/>
    <w:rsid w:val="6CAE59F5"/>
    <w:rsid w:val="6D023321"/>
    <w:rsid w:val="6D452195"/>
    <w:rsid w:val="6D566F0F"/>
    <w:rsid w:val="6D836F72"/>
    <w:rsid w:val="6D944C6F"/>
    <w:rsid w:val="6DDE3DAF"/>
    <w:rsid w:val="6E3241BE"/>
    <w:rsid w:val="6E92081A"/>
    <w:rsid w:val="6EB97A9D"/>
    <w:rsid w:val="6EF10A90"/>
    <w:rsid w:val="6EF77781"/>
    <w:rsid w:val="6F7F3578"/>
    <w:rsid w:val="6FA020C5"/>
    <w:rsid w:val="6FFF1868"/>
    <w:rsid w:val="706F0DA3"/>
    <w:rsid w:val="715F4C2D"/>
    <w:rsid w:val="71605362"/>
    <w:rsid w:val="71733BEC"/>
    <w:rsid w:val="71C020E8"/>
    <w:rsid w:val="722F78FB"/>
    <w:rsid w:val="723D67C5"/>
    <w:rsid w:val="72BF60CA"/>
    <w:rsid w:val="72F41282"/>
    <w:rsid w:val="730336CA"/>
    <w:rsid w:val="733D0D32"/>
    <w:rsid w:val="73984EC1"/>
    <w:rsid w:val="73D411F1"/>
    <w:rsid w:val="73F0682F"/>
    <w:rsid w:val="744E0E29"/>
    <w:rsid w:val="753811DE"/>
    <w:rsid w:val="75A854A2"/>
    <w:rsid w:val="75BE67D4"/>
    <w:rsid w:val="75C2004C"/>
    <w:rsid w:val="75C759C1"/>
    <w:rsid w:val="762D64F3"/>
    <w:rsid w:val="766B63D6"/>
    <w:rsid w:val="767E7EFF"/>
    <w:rsid w:val="77592FF4"/>
    <w:rsid w:val="775B4604"/>
    <w:rsid w:val="77C067C3"/>
    <w:rsid w:val="77F32708"/>
    <w:rsid w:val="783F569F"/>
    <w:rsid w:val="78911E31"/>
    <w:rsid w:val="7922350F"/>
    <w:rsid w:val="792B5470"/>
    <w:rsid w:val="798B394D"/>
    <w:rsid w:val="7A2A2BDF"/>
    <w:rsid w:val="7A9367CB"/>
    <w:rsid w:val="7AC62F94"/>
    <w:rsid w:val="7AF22571"/>
    <w:rsid w:val="7B69224B"/>
    <w:rsid w:val="7BE80F25"/>
    <w:rsid w:val="7C1127AC"/>
    <w:rsid w:val="7C1C35A7"/>
    <w:rsid w:val="7C45431D"/>
    <w:rsid w:val="7D3219D5"/>
    <w:rsid w:val="7DDD0501"/>
    <w:rsid w:val="7DE51372"/>
    <w:rsid w:val="7DFF100D"/>
    <w:rsid w:val="7E5E590F"/>
    <w:rsid w:val="7E935AFB"/>
    <w:rsid w:val="7EF30223"/>
    <w:rsid w:val="7F695915"/>
    <w:rsid w:val="7FC5602F"/>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0"/>
    <w:semiHidden/>
    <w:unhideWhenUsed/>
    <w:qFormat/>
    <w:uiPriority w:val="99"/>
    <w:rPr>
      <w:rFonts w:ascii="宋体" w:eastAsia="宋体"/>
      <w:sz w:val="18"/>
      <w:szCs w:val="18"/>
    </w:rPr>
  </w:style>
  <w:style w:type="paragraph" w:styleId="10">
    <w:name w:val="annotation text"/>
    <w:basedOn w:val="1"/>
    <w:semiHidden/>
    <w:unhideWhenUsed/>
    <w:qFormat/>
    <w:uiPriority w:val="0"/>
    <w:pPr>
      <w:jc w:val="left"/>
    </w:pPr>
  </w:style>
  <w:style w:type="paragraph" w:styleId="11">
    <w:name w:val="Body Text"/>
    <w:basedOn w:val="1"/>
    <w:link w:val="24"/>
    <w:qFormat/>
    <w:uiPriority w:val="0"/>
    <w:pPr>
      <w:spacing w:after="120"/>
      <w:jc w:val="both"/>
    </w:pPr>
    <w:rPr>
      <w:rFonts w:eastAsia="MS Mincho"/>
      <w:lang w:val="zh-CN"/>
    </w:r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1"/>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9"/>
    <w:semiHidden/>
    <w:qFormat/>
    <w:uiPriority w:val="99"/>
    <w:rPr>
      <w:rFonts w:ascii="宋体" w:hAnsi="Times New Roman"/>
      <w:sz w:val="18"/>
      <w:szCs w:val="18"/>
      <w:lang w:eastAsia="en-US"/>
    </w:rPr>
  </w:style>
  <w:style w:type="paragraph" w:customStyle="1" w:styleId="31">
    <w:name w:val="B1"/>
    <w:basedOn w:val="7"/>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8"/>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B2"/>
    <w:basedOn w:val="6"/>
    <w:qFormat/>
    <w:uiPriority w:val="0"/>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0">
    <w:name w:val="B3"/>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2023-09-27T14:07:25Z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FFB5176DD3A4421EBB948A7705297399</vt:lpwstr>
  </property>
</Properties>
</file>